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5B" w:rsidRPr="0078385B" w:rsidRDefault="0078385B" w:rsidP="00DD0AA8">
      <w:pPr>
        <w:jc w:val="both"/>
        <w:rPr>
          <w:b/>
        </w:rPr>
      </w:pPr>
      <w:r w:rsidRPr="0078385B">
        <w:rPr>
          <w:b/>
        </w:rPr>
        <w:t>Development Control Committee</w:t>
      </w:r>
    </w:p>
    <w:p w:rsidR="0078385B" w:rsidRPr="0078385B" w:rsidRDefault="0078385B" w:rsidP="00DD0AA8">
      <w:pPr>
        <w:jc w:val="both"/>
      </w:pPr>
      <w:r w:rsidRPr="0078385B">
        <w:t xml:space="preserve">Meeting to be held on </w:t>
      </w:r>
      <w:r w:rsidR="00AA0278">
        <w:t>25</w:t>
      </w:r>
      <w:r w:rsidR="00905760">
        <w:t>th</w:t>
      </w:r>
      <w:r w:rsidR="00AA0278">
        <w:t xml:space="preserve"> February 2015</w:t>
      </w:r>
    </w:p>
    <w:p w:rsidR="0078385B" w:rsidRPr="0078385B" w:rsidRDefault="0078385B" w:rsidP="00DD0AA8">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78385B" w:rsidRPr="0078385B">
        <w:tc>
          <w:tcPr>
            <w:tcW w:w="3685" w:type="dxa"/>
            <w:tcBorders>
              <w:top w:val="single" w:sz="4" w:space="0" w:color="auto"/>
              <w:left w:val="single" w:sz="4" w:space="0" w:color="auto"/>
              <w:bottom w:val="single" w:sz="4" w:space="0" w:color="auto"/>
              <w:right w:val="single" w:sz="4" w:space="0" w:color="auto"/>
            </w:tcBorders>
          </w:tcPr>
          <w:p w:rsidR="0078385B" w:rsidRPr="0078385B" w:rsidRDefault="0078385B" w:rsidP="00DD0AA8">
            <w:pPr>
              <w:pStyle w:val="BodyText"/>
              <w:jc w:val="both"/>
            </w:pPr>
            <w:r w:rsidRPr="0078385B">
              <w:t>Electoral Division affected:</w:t>
            </w:r>
          </w:p>
          <w:p w:rsidR="0078385B" w:rsidRPr="0078385B" w:rsidRDefault="00905760" w:rsidP="00DD0AA8">
            <w:pPr>
              <w:jc w:val="both"/>
              <w:rPr>
                <w:u w:val="single"/>
              </w:rPr>
            </w:pPr>
            <w:r w:rsidRPr="0078385B">
              <w:t>Penwortham North</w:t>
            </w:r>
          </w:p>
        </w:tc>
      </w:tr>
    </w:tbl>
    <w:p w:rsidR="0078385B" w:rsidRPr="0078385B" w:rsidRDefault="0078385B" w:rsidP="00DD0AA8">
      <w:pPr>
        <w:jc w:val="both"/>
        <w:rPr>
          <w:u w:val="single"/>
        </w:rPr>
      </w:pPr>
    </w:p>
    <w:p w:rsidR="0078385B" w:rsidRPr="0078385B" w:rsidRDefault="0078385B" w:rsidP="00DD0AA8">
      <w:pPr>
        <w:jc w:val="both"/>
        <w:rPr>
          <w:b/>
        </w:rPr>
      </w:pPr>
      <w:r w:rsidRPr="0078385B">
        <w:rPr>
          <w:b/>
        </w:rPr>
        <w:t xml:space="preserve">South </w:t>
      </w:r>
      <w:r w:rsidR="00DD0AA8">
        <w:rPr>
          <w:b/>
        </w:rPr>
        <w:t>Ribble Borough: application number</w:t>
      </w:r>
      <w:r w:rsidRPr="0078385B">
        <w:rPr>
          <w:b/>
        </w:rPr>
        <w:t xml:space="preserve"> LCC/2015/0007</w:t>
      </w:r>
    </w:p>
    <w:p w:rsidR="0078385B" w:rsidRPr="0078385B" w:rsidRDefault="00AA0278" w:rsidP="00DD0AA8">
      <w:pPr>
        <w:jc w:val="both"/>
        <w:rPr>
          <w:b/>
        </w:rPr>
      </w:pPr>
      <w:r w:rsidRPr="0078385B">
        <w:rPr>
          <w:b/>
        </w:rPr>
        <w:t>Replacement of two existing gates/barrier</w:t>
      </w:r>
      <w:r w:rsidR="00DD0AA8">
        <w:rPr>
          <w:b/>
        </w:rPr>
        <w:t>s with 2.4m high security gates,</w:t>
      </w:r>
      <w:r w:rsidRPr="0078385B">
        <w:rPr>
          <w:b/>
        </w:rPr>
        <w:t xml:space="preserve"> </w:t>
      </w:r>
      <w:r w:rsidR="00DD0AA8">
        <w:rPr>
          <w:b/>
        </w:rPr>
        <w:t>i</w:t>
      </w:r>
      <w:r w:rsidR="007B012D" w:rsidRPr="0078385B">
        <w:rPr>
          <w:b/>
        </w:rPr>
        <w:t>nstallation</w:t>
      </w:r>
      <w:r w:rsidRPr="0078385B">
        <w:rPr>
          <w:b/>
        </w:rPr>
        <w:t xml:space="preserve"> of additional gates adjacent to the garage and additional 2.4m high weld mesh security fencing at the rear of the tennis courts and to part of the boundary</w:t>
      </w:r>
      <w:r w:rsidR="00DD0AA8">
        <w:rPr>
          <w:b/>
        </w:rPr>
        <w:t xml:space="preserve"> at </w:t>
      </w:r>
      <w:r w:rsidRPr="0078385B">
        <w:rPr>
          <w:b/>
        </w:rPr>
        <w:t>Penwortham Girls High School, Cop Lane, Penwortham, Preston</w:t>
      </w:r>
    </w:p>
    <w:p w:rsidR="0078385B" w:rsidRPr="0078385B" w:rsidRDefault="0078385B" w:rsidP="00DD0AA8">
      <w:pPr>
        <w:ind w:left="709" w:hanging="709"/>
        <w:jc w:val="both"/>
        <w:rPr>
          <w:b/>
        </w:rPr>
      </w:pPr>
    </w:p>
    <w:p w:rsidR="0078385B" w:rsidRPr="0078385B" w:rsidRDefault="0078385B" w:rsidP="00DD0AA8">
      <w:pPr>
        <w:jc w:val="both"/>
      </w:pPr>
      <w:r w:rsidRPr="0078385B">
        <w:t>Contact for further information:</w:t>
      </w:r>
    </w:p>
    <w:p w:rsidR="0078385B" w:rsidRPr="0078385B" w:rsidRDefault="0078385B" w:rsidP="00DD0AA8">
      <w:pPr>
        <w:jc w:val="both"/>
      </w:pPr>
      <w:r w:rsidRPr="0078385B">
        <w:t>Pauline Kelly, 01772 531929, Environment Directorate</w:t>
      </w:r>
    </w:p>
    <w:p w:rsidR="0078385B" w:rsidRPr="0078385B" w:rsidRDefault="00860B8F" w:rsidP="00DD0AA8">
      <w:pPr>
        <w:pStyle w:val="Header"/>
        <w:jc w:val="both"/>
        <w:rPr>
          <w:sz w:val="24"/>
        </w:rPr>
      </w:pPr>
      <w:hyperlink r:id="rId7" w:history="1">
        <w:r w:rsidR="0078385B" w:rsidRPr="0078385B">
          <w:rPr>
            <w:rStyle w:val="Hyperlink"/>
          </w:rPr>
          <w:t>DevCon@lancashire.gov.uk</w:t>
        </w:r>
      </w:hyperlink>
    </w:p>
    <w:p w:rsidR="0078385B" w:rsidRPr="0078385B" w:rsidRDefault="0078385B" w:rsidP="00DD0AA8">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8385B" w:rsidRPr="0078385B">
        <w:tc>
          <w:tcPr>
            <w:tcW w:w="9180" w:type="dxa"/>
            <w:tcBorders>
              <w:top w:val="single" w:sz="4" w:space="0" w:color="auto"/>
              <w:left w:val="single" w:sz="4" w:space="0" w:color="auto"/>
              <w:bottom w:val="single" w:sz="4" w:space="0" w:color="auto"/>
              <w:right w:val="single" w:sz="4" w:space="0" w:color="auto"/>
            </w:tcBorders>
          </w:tcPr>
          <w:p w:rsidR="0078385B" w:rsidRPr="0078385B" w:rsidRDefault="0078385B" w:rsidP="00DD0AA8">
            <w:pPr>
              <w:pStyle w:val="Header"/>
              <w:jc w:val="both"/>
              <w:rPr>
                <w:sz w:val="24"/>
              </w:rPr>
            </w:pPr>
          </w:p>
          <w:p w:rsidR="0078385B" w:rsidRPr="0078385B" w:rsidRDefault="0078385B" w:rsidP="00DD0AA8">
            <w:pPr>
              <w:pStyle w:val="Heading6"/>
              <w:jc w:val="both"/>
              <w:rPr>
                <w:rFonts w:ascii="Arial" w:hAnsi="Arial"/>
                <w:sz w:val="24"/>
              </w:rPr>
            </w:pPr>
            <w:r w:rsidRPr="0078385B">
              <w:rPr>
                <w:rFonts w:ascii="Arial" w:hAnsi="Arial"/>
                <w:sz w:val="24"/>
              </w:rPr>
              <w:t>Executive Summary</w:t>
            </w:r>
          </w:p>
          <w:p w:rsidR="0078385B" w:rsidRPr="0078385B" w:rsidRDefault="0078385B" w:rsidP="00DD0AA8">
            <w:pPr>
              <w:jc w:val="both"/>
            </w:pPr>
          </w:p>
          <w:p w:rsidR="007B012D" w:rsidRPr="007B012D" w:rsidRDefault="0078385B" w:rsidP="00DD0AA8">
            <w:pPr>
              <w:jc w:val="both"/>
            </w:pPr>
            <w:r w:rsidRPr="0078385B">
              <w:t xml:space="preserve">Application - </w:t>
            </w:r>
            <w:r w:rsidR="007B012D" w:rsidRPr="007B012D">
              <w:t>Replacement of two existing gates/barriers wit</w:t>
            </w:r>
            <w:r w:rsidR="00161A18">
              <w:t>h 2.4m high security gates, i</w:t>
            </w:r>
            <w:r w:rsidR="007B012D" w:rsidRPr="007B012D">
              <w:t>nstallation of additional gates adjacent to the garage and additional 2.4m high weld mesh security fencing at the rear of the tennis cour</w:t>
            </w:r>
            <w:r w:rsidR="00161A18">
              <w:t xml:space="preserve">ts and to part of the boundary at </w:t>
            </w:r>
            <w:r w:rsidR="007B012D" w:rsidRPr="007B012D">
              <w:t>Penwortham Girls High School, Cop Lane, Penwortham, Preston</w:t>
            </w:r>
            <w:r w:rsidR="00161A18">
              <w:t>.</w:t>
            </w:r>
          </w:p>
          <w:p w:rsidR="0078385B" w:rsidRPr="0078385B" w:rsidRDefault="0078385B" w:rsidP="00DD0AA8">
            <w:pPr>
              <w:jc w:val="both"/>
            </w:pPr>
          </w:p>
          <w:p w:rsidR="0078385B" w:rsidRPr="0078385B" w:rsidRDefault="0078385B" w:rsidP="00DD0AA8">
            <w:pPr>
              <w:pStyle w:val="Heading5"/>
              <w:jc w:val="both"/>
              <w:rPr>
                <w:rFonts w:ascii="Arial" w:hAnsi="Arial"/>
                <w:b w:val="0"/>
                <w:sz w:val="24"/>
                <w:u w:val="none"/>
              </w:rPr>
            </w:pPr>
            <w:r w:rsidRPr="0078385B">
              <w:rPr>
                <w:rFonts w:ascii="Arial" w:hAnsi="Arial"/>
                <w:sz w:val="24"/>
                <w:u w:val="none"/>
              </w:rPr>
              <w:t>Recommendation – Summary</w:t>
            </w:r>
          </w:p>
          <w:p w:rsidR="0078385B" w:rsidRPr="0078385B" w:rsidRDefault="0078385B" w:rsidP="00DD0AA8">
            <w:pPr>
              <w:jc w:val="both"/>
            </w:pPr>
          </w:p>
          <w:p w:rsidR="007B012D" w:rsidRPr="003C45BD" w:rsidRDefault="007B012D" w:rsidP="00DD0AA8">
            <w:pPr>
              <w:jc w:val="both"/>
            </w:pPr>
            <w:r w:rsidRPr="003C45BD">
              <w:t xml:space="preserve">That planning permission be </w:t>
            </w:r>
            <w:r w:rsidRPr="003C45BD">
              <w:rPr>
                <w:b/>
              </w:rPr>
              <w:t>granted</w:t>
            </w:r>
            <w:r w:rsidRPr="003C45BD">
              <w:t xml:space="preserve"> subject to </w:t>
            </w:r>
            <w:r>
              <w:t>conditio</w:t>
            </w:r>
            <w:r w:rsidR="00161A18">
              <w:t>ns controlling commencement, working programme and colour of fencing.</w:t>
            </w:r>
          </w:p>
          <w:p w:rsidR="0078385B" w:rsidRPr="0078385B" w:rsidRDefault="0078385B" w:rsidP="00DD0AA8">
            <w:pPr>
              <w:jc w:val="both"/>
            </w:pPr>
          </w:p>
          <w:p w:rsidR="0078385B" w:rsidRPr="0078385B" w:rsidRDefault="0078385B" w:rsidP="00DD0AA8">
            <w:pPr>
              <w:jc w:val="both"/>
            </w:pPr>
          </w:p>
        </w:tc>
      </w:tr>
    </w:tbl>
    <w:p w:rsidR="0078385B" w:rsidRPr="0078385B" w:rsidRDefault="0078385B" w:rsidP="00DD0AA8">
      <w:pPr>
        <w:pStyle w:val="Header"/>
        <w:jc w:val="both"/>
        <w:rPr>
          <w:sz w:val="24"/>
        </w:rPr>
      </w:pPr>
    </w:p>
    <w:p w:rsidR="0078385B" w:rsidRPr="0078385B" w:rsidRDefault="0078385B" w:rsidP="00DD0AA8">
      <w:pPr>
        <w:jc w:val="both"/>
        <w:rPr>
          <w:b/>
        </w:rPr>
      </w:pPr>
      <w:r w:rsidRPr="0078385B">
        <w:rPr>
          <w:b/>
        </w:rPr>
        <w:t>Applicant’s Proposal</w:t>
      </w:r>
    </w:p>
    <w:p w:rsidR="0078385B" w:rsidRPr="0078385B" w:rsidRDefault="0078385B" w:rsidP="00DD0AA8">
      <w:pPr>
        <w:jc w:val="both"/>
      </w:pPr>
    </w:p>
    <w:p w:rsidR="00461F19" w:rsidRDefault="00461F19" w:rsidP="00DD0AA8">
      <w:pPr>
        <w:jc w:val="both"/>
      </w:pPr>
      <w:r w:rsidRPr="002F04B4">
        <w:t>Planning permission is sough</w:t>
      </w:r>
      <w:r>
        <w:t>t</w:t>
      </w:r>
      <w:r w:rsidRPr="002F04B4">
        <w:t xml:space="preserve"> for</w:t>
      </w:r>
      <w:r>
        <w:t xml:space="preserve"> a number of sections of fencing and gates.  This includes</w:t>
      </w:r>
      <w:r w:rsidRPr="002F04B4">
        <w:t xml:space="preserve"> the </w:t>
      </w:r>
      <w:r>
        <w:t xml:space="preserve">replacement of a barrier to the front of the school on Cop Lane and to replace low level 15 year old double gates to the rear of the premises at Alcester Avenue with 2.4m high weld mesh double gates, an additional 2.4m high weld mesh single gate is proposed adjacent to the garage.  The application also proposes </w:t>
      </w:r>
      <w:r w:rsidR="00E360C2">
        <w:t>approximately</w:t>
      </w:r>
      <w:r>
        <w:t xml:space="preserve"> </w:t>
      </w:r>
      <w:r w:rsidR="00E360C2">
        <w:t>260</w:t>
      </w:r>
      <w:r w:rsidR="00905760">
        <w:t xml:space="preserve"> </w:t>
      </w:r>
      <w:r>
        <w:t>m</w:t>
      </w:r>
      <w:r w:rsidR="00905760">
        <w:t>etres</w:t>
      </w:r>
      <w:r>
        <w:t xml:space="preserve"> of 2.4m high weld mesh fencing to the boundary of the school playing field and Hurst Gr</w:t>
      </w:r>
      <w:r w:rsidR="00D5183A">
        <w:t>ange</w:t>
      </w:r>
      <w:r>
        <w:t xml:space="preserve"> Park and two 3m lengths to the rear of the tennis courts.</w:t>
      </w:r>
      <w:r w:rsidR="00BD4F4F">
        <w:t xml:space="preserve">  All fencing and gates would be coloured green.</w:t>
      </w:r>
    </w:p>
    <w:p w:rsidR="00461F19" w:rsidRPr="00461F19" w:rsidRDefault="00461F19" w:rsidP="00DD0AA8">
      <w:pPr>
        <w:jc w:val="both"/>
        <w:rPr>
          <w:lang w:eastAsia="en-US"/>
        </w:rPr>
      </w:pPr>
    </w:p>
    <w:p w:rsidR="0078385B" w:rsidRPr="0078385B" w:rsidRDefault="0078385B" w:rsidP="00DD0AA8">
      <w:pPr>
        <w:pStyle w:val="Heading1"/>
        <w:jc w:val="both"/>
      </w:pPr>
      <w:r w:rsidRPr="0078385B">
        <w:lastRenderedPageBreak/>
        <w:t>Description and Location of Site</w:t>
      </w:r>
    </w:p>
    <w:p w:rsidR="0078385B" w:rsidRPr="0078385B" w:rsidRDefault="0078385B" w:rsidP="00DD0AA8">
      <w:pPr>
        <w:jc w:val="both"/>
      </w:pPr>
    </w:p>
    <w:p w:rsidR="00860B8F" w:rsidRDefault="00172780" w:rsidP="00DD0AA8">
      <w:pPr>
        <w:jc w:val="both"/>
        <w:rPr>
          <w:szCs w:val="24"/>
        </w:rPr>
      </w:pPr>
      <w:r w:rsidRPr="00172780">
        <w:rPr>
          <w:szCs w:val="24"/>
        </w:rPr>
        <w:t xml:space="preserve">Penwortham Girls High School is located on the east side of Cop Lane approximately 150m to the south of Penwortham town centre within a predominantly residential area.  The school is bound by Government Offices to the north, Hurst Grange Park to the south and residential properties to east and west.  </w:t>
      </w:r>
      <w:r w:rsidR="003E6738" w:rsidRPr="00067C25">
        <w:rPr>
          <w:szCs w:val="24"/>
        </w:rPr>
        <w:t>The school buildings are located in the northern third of the site adjacent to the</w:t>
      </w:r>
      <w:r w:rsidR="003E6738">
        <w:rPr>
          <w:szCs w:val="24"/>
        </w:rPr>
        <w:t xml:space="preserve"> vehicle accesses from Cop Lane. </w:t>
      </w:r>
      <w:r w:rsidR="003E6738" w:rsidRPr="00067C25">
        <w:rPr>
          <w:szCs w:val="24"/>
        </w:rPr>
        <w:t>The school consists of a mixture of single and two-storey buildings with a white render and</w:t>
      </w:r>
    </w:p>
    <w:p w:rsidR="007F251B" w:rsidRDefault="003E6738" w:rsidP="00DD0AA8">
      <w:pPr>
        <w:jc w:val="both"/>
        <w:rPr>
          <w:szCs w:val="24"/>
        </w:rPr>
      </w:pPr>
      <w:bookmarkStart w:id="0" w:name="_GoBack"/>
      <w:bookmarkEnd w:id="0"/>
      <w:r w:rsidRPr="00067C25">
        <w:rPr>
          <w:szCs w:val="24"/>
        </w:rPr>
        <w:t xml:space="preserve">a shallow pitched roof with dark red </w:t>
      </w:r>
      <w:r>
        <w:rPr>
          <w:szCs w:val="24"/>
        </w:rPr>
        <w:t xml:space="preserve">concrete </w:t>
      </w:r>
      <w:r w:rsidRPr="00067C25">
        <w:rPr>
          <w:szCs w:val="24"/>
        </w:rPr>
        <w:t xml:space="preserve">roof tiles. </w:t>
      </w:r>
      <w:r w:rsidR="007F251B">
        <w:rPr>
          <w:szCs w:val="24"/>
        </w:rPr>
        <w:t xml:space="preserve">The </w:t>
      </w:r>
      <w:r w:rsidR="00D5183A">
        <w:rPr>
          <w:szCs w:val="24"/>
        </w:rPr>
        <w:t>gates would</w:t>
      </w:r>
      <w:r w:rsidR="007F251B">
        <w:rPr>
          <w:szCs w:val="24"/>
        </w:rPr>
        <w:t xml:space="preserve"> be located to the front and rear of the school and the fencing to the south adjacent to Hurst G</w:t>
      </w:r>
      <w:r w:rsidR="00D5183A">
        <w:rPr>
          <w:szCs w:val="24"/>
        </w:rPr>
        <w:t>range</w:t>
      </w:r>
      <w:r w:rsidR="007F251B">
        <w:rPr>
          <w:szCs w:val="24"/>
        </w:rPr>
        <w:t xml:space="preserve"> Park and the rear of the school behind the tennis courts</w:t>
      </w:r>
    </w:p>
    <w:p w:rsidR="007F251B" w:rsidRDefault="007F251B" w:rsidP="00DD0AA8">
      <w:pPr>
        <w:jc w:val="both"/>
      </w:pPr>
    </w:p>
    <w:p w:rsidR="003E6738" w:rsidRPr="00067C25" w:rsidRDefault="003E6738" w:rsidP="00DD0AA8">
      <w:pPr>
        <w:jc w:val="both"/>
        <w:rPr>
          <w:szCs w:val="24"/>
        </w:rPr>
      </w:pPr>
      <w:r w:rsidRPr="00067C25">
        <w:rPr>
          <w:szCs w:val="24"/>
        </w:rPr>
        <w:t>The nearest residential properties are located</w:t>
      </w:r>
      <w:r>
        <w:rPr>
          <w:szCs w:val="24"/>
        </w:rPr>
        <w:t xml:space="preserve"> on </w:t>
      </w:r>
      <w:r w:rsidR="007F251B">
        <w:rPr>
          <w:szCs w:val="24"/>
        </w:rPr>
        <w:t>Alcester Avenue to the rear of the school.</w:t>
      </w:r>
    </w:p>
    <w:p w:rsidR="003E6738" w:rsidRDefault="003E6738" w:rsidP="00DD0AA8">
      <w:pPr>
        <w:jc w:val="both"/>
      </w:pPr>
    </w:p>
    <w:p w:rsidR="00913716" w:rsidRDefault="00913716" w:rsidP="00DD0AA8">
      <w:pPr>
        <w:jc w:val="both"/>
      </w:pPr>
      <w:r>
        <w:t>The school boundary forms the edge of an area of Green Belt encompassing Hurst Grange Park.</w:t>
      </w:r>
    </w:p>
    <w:p w:rsidR="00913716" w:rsidRDefault="00913716" w:rsidP="00DD0AA8">
      <w:pPr>
        <w:jc w:val="both"/>
      </w:pPr>
    </w:p>
    <w:p w:rsidR="0078385B" w:rsidRPr="00172780" w:rsidRDefault="0078385B" w:rsidP="00DD0AA8">
      <w:pPr>
        <w:pStyle w:val="Heading1"/>
        <w:jc w:val="both"/>
      </w:pPr>
      <w:r w:rsidRPr="00172780">
        <w:t>Background</w:t>
      </w:r>
    </w:p>
    <w:p w:rsidR="00172780" w:rsidRPr="00172780" w:rsidRDefault="00172780" w:rsidP="00DD0AA8">
      <w:pPr>
        <w:jc w:val="both"/>
        <w:rPr>
          <w:lang w:eastAsia="en-US"/>
        </w:rPr>
      </w:pPr>
    </w:p>
    <w:p w:rsidR="00172780" w:rsidRPr="00067C25" w:rsidRDefault="00172780" w:rsidP="00DD0AA8">
      <w:pPr>
        <w:pStyle w:val="Default"/>
        <w:jc w:val="both"/>
      </w:pPr>
      <w:r w:rsidRPr="00067C25">
        <w:t xml:space="preserve">The proposal is at an existing secondary school. </w:t>
      </w:r>
    </w:p>
    <w:p w:rsidR="00172780" w:rsidRPr="00067C25" w:rsidRDefault="00172780" w:rsidP="00DD0AA8">
      <w:pPr>
        <w:pStyle w:val="Default"/>
        <w:jc w:val="both"/>
      </w:pPr>
    </w:p>
    <w:p w:rsidR="003E6738" w:rsidRDefault="003E6738" w:rsidP="00DD0AA8">
      <w:pPr>
        <w:pStyle w:val="Default"/>
        <w:jc w:val="both"/>
      </w:pPr>
      <w:r w:rsidRPr="00067C25">
        <w:t xml:space="preserve">Planning permission for a </w:t>
      </w:r>
      <w:r>
        <w:rPr>
          <w:bCs/>
        </w:rPr>
        <w:t>s</w:t>
      </w:r>
      <w:r w:rsidRPr="00376001">
        <w:rPr>
          <w:bCs/>
        </w:rPr>
        <w:t xml:space="preserve">ingle storey extension to provide </w:t>
      </w:r>
      <w:r>
        <w:rPr>
          <w:bCs/>
        </w:rPr>
        <w:t>three</w:t>
      </w:r>
      <w:r w:rsidRPr="00376001">
        <w:rPr>
          <w:bCs/>
        </w:rPr>
        <w:t xml:space="preserve"> replacement classrooms, 2.2 metre high gates and extension to the existing car park</w:t>
      </w:r>
      <w:r>
        <w:t xml:space="preserve"> was granted in August 2013 (ref. LCC/2014/0172).</w:t>
      </w:r>
    </w:p>
    <w:p w:rsidR="003E6738" w:rsidRDefault="003E6738" w:rsidP="00DD0AA8">
      <w:pPr>
        <w:pStyle w:val="Default"/>
        <w:jc w:val="both"/>
      </w:pPr>
    </w:p>
    <w:p w:rsidR="003E6738" w:rsidRPr="00067C25" w:rsidRDefault="003E6738" w:rsidP="00DD0AA8">
      <w:pPr>
        <w:pStyle w:val="Default"/>
        <w:jc w:val="both"/>
      </w:pPr>
      <w:r w:rsidRPr="00067C25">
        <w:lastRenderedPageBreak/>
        <w:t>Planning permission for a single storey extension to the front of the building with new paved access and creation of 2 no. disabled parking spaces was granted in March 2008 (ref. 07/08/0050).</w:t>
      </w:r>
    </w:p>
    <w:p w:rsidR="003E6738" w:rsidRPr="00067C25" w:rsidRDefault="003E6738" w:rsidP="00DD0AA8">
      <w:pPr>
        <w:pStyle w:val="Default"/>
        <w:jc w:val="both"/>
      </w:pPr>
    </w:p>
    <w:p w:rsidR="003E6738" w:rsidRPr="00067C25" w:rsidRDefault="003E6738" w:rsidP="00DD0AA8">
      <w:pPr>
        <w:pStyle w:val="Default"/>
        <w:jc w:val="both"/>
      </w:pPr>
      <w:r w:rsidRPr="00067C25">
        <w:t>Planning p</w:t>
      </w:r>
      <w:r w:rsidR="00905760">
        <w:t xml:space="preserve">ermission for the provision of </w:t>
      </w:r>
      <w:r w:rsidRPr="00067C25">
        <w:t xml:space="preserve"> 2.4m high security fencing to central court yard of school and 2.4m high replacement ball stop netting to two tennis courts was granted in April 2003 (ref. 07/03/0044). </w:t>
      </w:r>
    </w:p>
    <w:p w:rsidR="0078385B" w:rsidRPr="0078385B" w:rsidRDefault="0078385B" w:rsidP="00DD0AA8">
      <w:pPr>
        <w:pStyle w:val="Heading1"/>
        <w:jc w:val="both"/>
      </w:pPr>
    </w:p>
    <w:p w:rsidR="0078385B" w:rsidRPr="0078385B" w:rsidRDefault="0078385B" w:rsidP="00DD0AA8">
      <w:pPr>
        <w:pStyle w:val="Heading1"/>
        <w:jc w:val="both"/>
      </w:pPr>
      <w:r w:rsidRPr="0078385B">
        <w:t xml:space="preserve">Planning Policy </w:t>
      </w:r>
    </w:p>
    <w:p w:rsidR="0078385B" w:rsidRPr="0078385B" w:rsidRDefault="0078385B" w:rsidP="00DD0AA8">
      <w:pPr>
        <w:jc w:val="both"/>
      </w:pPr>
    </w:p>
    <w:p w:rsidR="003E6738" w:rsidRPr="003C45BD" w:rsidRDefault="003E6738" w:rsidP="00DD0AA8">
      <w:pPr>
        <w:jc w:val="both"/>
      </w:pPr>
      <w:r w:rsidRPr="003C45BD">
        <w:t xml:space="preserve">National Planning Policy Framework </w:t>
      </w:r>
    </w:p>
    <w:p w:rsidR="003E6738" w:rsidRPr="00067C25" w:rsidRDefault="003E6738" w:rsidP="00DD0AA8">
      <w:pPr>
        <w:pStyle w:val="Default"/>
        <w:jc w:val="both"/>
      </w:pPr>
    </w:p>
    <w:p w:rsidR="003E6738" w:rsidRDefault="003E6738" w:rsidP="00DD0AA8">
      <w:pPr>
        <w:jc w:val="both"/>
        <w:rPr>
          <w:szCs w:val="24"/>
        </w:rPr>
      </w:pPr>
      <w:r w:rsidRPr="00067C25">
        <w:rPr>
          <w:szCs w:val="24"/>
        </w:rPr>
        <w:t>Paragraphs 11 – 14, 17, 56 – 66</w:t>
      </w:r>
      <w:r w:rsidR="007F251B" w:rsidRPr="00067C25">
        <w:rPr>
          <w:szCs w:val="24"/>
        </w:rPr>
        <w:t>,</w:t>
      </w:r>
      <w:r w:rsidR="007F251B">
        <w:rPr>
          <w:szCs w:val="24"/>
        </w:rPr>
        <w:t xml:space="preserve"> and</w:t>
      </w:r>
      <w:r>
        <w:rPr>
          <w:szCs w:val="24"/>
        </w:rPr>
        <w:t xml:space="preserve"> </w:t>
      </w:r>
      <w:r w:rsidRPr="00067C25">
        <w:rPr>
          <w:szCs w:val="24"/>
        </w:rPr>
        <w:t xml:space="preserve">69, are relevant with regard to the requirement for </w:t>
      </w:r>
      <w:r w:rsidRPr="00067C25">
        <w:rPr>
          <w:rFonts w:cs="Arial"/>
          <w:szCs w:val="24"/>
        </w:rPr>
        <w:t>sustainable development, core planning principles, the requirement for good design,</w:t>
      </w:r>
      <w:r w:rsidRPr="00067C25">
        <w:rPr>
          <w:szCs w:val="24"/>
        </w:rPr>
        <w:t xml:space="preserve"> </w:t>
      </w:r>
      <w:r>
        <w:rPr>
          <w:szCs w:val="24"/>
        </w:rPr>
        <w:t xml:space="preserve">and </w:t>
      </w:r>
      <w:r w:rsidRPr="00067C25">
        <w:rPr>
          <w:szCs w:val="24"/>
        </w:rPr>
        <w:t>promoting healthy communities</w:t>
      </w:r>
      <w:r>
        <w:rPr>
          <w:szCs w:val="24"/>
        </w:rPr>
        <w:t xml:space="preserve">. </w:t>
      </w:r>
      <w:r w:rsidRPr="00067C25">
        <w:rPr>
          <w:szCs w:val="24"/>
        </w:rPr>
        <w:t xml:space="preserve"> </w:t>
      </w:r>
    </w:p>
    <w:p w:rsidR="003E6738" w:rsidRDefault="003E6738" w:rsidP="00DD0AA8">
      <w:pPr>
        <w:jc w:val="both"/>
        <w:rPr>
          <w:szCs w:val="24"/>
        </w:rPr>
      </w:pPr>
    </w:p>
    <w:p w:rsidR="003E6738" w:rsidRDefault="003E6738" w:rsidP="00DD0AA8">
      <w:pPr>
        <w:jc w:val="both"/>
        <w:rPr>
          <w:szCs w:val="24"/>
        </w:rPr>
      </w:pPr>
      <w:r>
        <w:rPr>
          <w:szCs w:val="24"/>
        </w:rPr>
        <w:t xml:space="preserve">Central Lancashire Core Strategy </w:t>
      </w:r>
    </w:p>
    <w:p w:rsidR="00D5183A" w:rsidRDefault="00D5183A" w:rsidP="00DD0AA8">
      <w:pPr>
        <w:jc w:val="both"/>
        <w:rPr>
          <w:szCs w:val="24"/>
        </w:rPr>
      </w:pPr>
    </w:p>
    <w:p w:rsidR="003E6738" w:rsidRPr="00067C25" w:rsidRDefault="003E6738" w:rsidP="00DD0AA8">
      <w:pPr>
        <w:jc w:val="both"/>
        <w:rPr>
          <w:rFonts w:cs="Arial"/>
          <w:szCs w:val="24"/>
        </w:rPr>
      </w:pPr>
      <w:r>
        <w:rPr>
          <w:szCs w:val="24"/>
        </w:rPr>
        <w:t xml:space="preserve">Policy 17 </w:t>
      </w:r>
      <w:r w:rsidR="00BD4F4F">
        <w:rPr>
          <w:szCs w:val="24"/>
        </w:rPr>
        <w:tab/>
      </w:r>
      <w:r>
        <w:rPr>
          <w:szCs w:val="24"/>
        </w:rPr>
        <w:t>Design of New Buildings</w:t>
      </w:r>
    </w:p>
    <w:p w:rsidR="003E6738" w:rsidRPr="003C45BD" w:rsidRDefault="003E6738" w:rsidP="00DD0AA8">
      <w:pPr>
        <w:jc w:val="both"/>
      </w:pPr>
    </w:p>
    <w:p w:rsidR="003E6738" w:rsidRDefault="003E6738" w:rsidP="00DD0AA8">
      <w:pPr>
        <w:jc w:val="both"/>
      </w:pPr>
      <w:r>
        <w:t>South Ribble Site Allocations and Development Management Policies DPD (Partial Version) 2013</w:t>
      </w:r>
      <w:r w:rsidRPr="007B27AF">
        <w:t xml:space="preserve"> </w:t>
      </w:r>
      <w:r>
        <w:t>SRSDMP DPD)</w:t>
      </w:r>
    </w:p>
    <w:p w:rsidR="003E6738" w:rsidRDefault="003E6738" w:rsidP="00DD0AA8">
      <w:pPr>
        <w:jc w:val="both"/>
      </w:pPr>
    </w:p>
    <w:p w:rsidR="003E6738" w:rsidRPr="0024312D" w:rsidRDefault="003E6738" w:rsidP="00DD0AA8">
      <w:pPr>
        <w:autoSpaceDE w:val="0"/>
        <w:autoSpaceDN w:val="0"/>
        <w:adjustRightInd w:val="0"/>
        <w:jc w:val="both"/>
        <w:rPr>
          <w:szCs w:val="24"/>
        </w:rPr>
      </w:pPr>
      <w:r w:rsidRPr="0024312D">
        <w:rPr>
          <w:rFonts w:ascii="ArialMT" w:hAnsi="ArialMT" w:cs="ArialMT"/>
          <w:szCs w:val="24"/>
        </w:rPr>
        <w:t>A Partial Version of the Plan has been produced which includes all the Main and Additional</w:t>
      </w:r>
      <w:r>
        <w:rPr>
          <w:rFonts w:ascii="ArialMT" w:hAnsi="ArialMT" w:cs="ArialMT"/>
          <w:szCs w:val="24"/>
        </w:rPr>
        <w:t xml:space="preserve"> </w:t>
      </w:r>
      <w:r w:rsidRPr="0024312D">
        <w:rPr>
          <w:rFonts w:ascii="ArialMT" w:hAnsi="ArialMT" w:cs="ArialMT"/>
          <w:szCs w:val="24"/>
        </w:rPr>
        <w:t>Modifications discussed during the Examination (March 2013) and consulted on during</w:t>
      </w:r>
      <w:r>
        <w:rPr>
          <w:rFonts w:ascii="ArialMT" w:hAnsi="ArialMT" w:cs="ArialMT"/>
          <w:szCs w:val="24"/>
        </w:rPr>
        <w:t xml:space="preserve"> </w:t>
      </w:r>
      <w:r w:rsidRPr="0024312D">
        <w:rPr>
          <w:rFonts w:ascii="ArialMT" w:hAnsi="ArialMT" w:cs="ArialMT"/>
          <w:szCs w:val="24"/>
        </w:rPr>
        <w:t xml:space="preserve">summer 2013. </w:t>
      </w:r>
      <w:r w:rsidR="00D5183A">
        <w:rPr>
          <w:rFonts w:ascii="ArialMT" w:hAnsi="ArialMT" w:cs="ArialMT"/>
          <w:szCs w:val="24"/>
        </w:rPr>
        <w:t xml:space="preserve"> </w:t>
      </w:r>
      <w:r w:rsidRPr="0024312D">
        <w:rPr>
          <w:rFonts w:ascii="ArialMT" w:hAnsi="ArialMT" w:cs="ArialMT"/>
          <w:szCs w:val="24"/>
        </w:rPr>
        <w:t xml:space="preserve">This Partial Version has now </w:t>
      </w:r>
      <w:r w:rsidRPr="0024312D">
        <w:rPr>
          <w:rFonts w:ascii="ArialMT" w:hAnsi="ArialMT" w:cs="ArialMT"/>
          <w:szCs w:val="24"/>
        </w:rPr>
        <w:lastRenderedPageBreak/>
        <w:t>been endorsed by South Ribble Cabinet and Full Council on 6 and 20 November</w:t>
      </w:r>
      <w:r w:rsidR="00D5183A">
        <w:rPr>
          <w:rFonts w:ascii="ArialMT" w:hAnsi="ArialMT" w:cs="ArialMT"/>
          <w:szCs w:val="24"/>
        </w:rPr>
        <w:t xml:space="preserve"> 2014</w:t>
      </w:r>
      <w:r w:rsidRPr="0024312D">
        <w:rPr>
          <w:rFonts w:ascii="ArialMT" w:hAnsi="ArialMT" w:cs="ArialMT"/>
          <w:szCs w:val="24"/>
        </w:rPr>
        <w:t>, respectively, for use in development management purposes to guide decisions on planning applications.</w:t>
      </w:r>
    </w:p>
    <w:p w:rsidR="003E6738" w:rsidRPr="0024312D" w:rsidRDefault="003E6738" w:rsidP="00DD0AA8">
      <w:pPr>
        <w:jc w:val="both"/>
        <w:rPr>
          <w:szCs w:val="24"/>
        </w:rPr>
      </w:pPr>
    </w:p>
    <w:p w:rsidR="002D20F8" w:rsidRDefault="00D5183A" w:rsidP="00DD0AA8">
      <w:pPr>
        <w:jc w:val="both"/>
      </w:pPr>
      <w:r>
        <w:t>Policy B1</w:t>
      </w:r>
      <w:r>
        <w:tab/>
      </w:r>
      <w:r w:rsidR="003E6738">
        <w:t>Existing Built up Areas</w:t>
      </w:r>
    </w:p>
    <w:p w:rsidR="003E6738" w:rsidRDefault="002D20F8" w:rsidP="00DD0AA8">
      <w:pPr>
        <w:jc w:val="both"/>
      </w:pPr>
      <w:r>
        <w:t>Policy G7</w:t>
      </w:r>
      <w:r>
        <w:tab/>
        <w:t>Green Infrastructure</w:t>
      </w:r>
      <w:r w:rsidR="003E6738">
        <w:t xml:space="preserve"> </w:t>
      </w:r>
    </w:p>
    <w:p w:rsidR="003E6738" w:rsidRDefault="00D5183A" w:rsidP="00DD0AA8">
      <w:pPr>
        <w:jc w:val="both"/>
      </w:pPr>
      <w:r>
        <w:t>Policy G17</w:t>
      </w:r>
      <w:r>
        <w:tab/>
      </w:r>
      <w:r w:rsidR="003E6738">
        <w:t xml:space="preserve">Design Criteria </w:t>
      </w:r>
    </w:p>
    <w:p w:rsidR="0078385B" w:rsidRPr="0078385B" w:rsidRDefault="0078385B" w:rsidP="00DD0AA8">
      <w:pPr>
        <w:pStyle w:val="Heading1"/>
        <w:jc w:val="both"/>
      </w:pPr>
    </w:p>
    <w:p w:rsidR="0078385B" w:rsidRDefault="0078385B" w:rsidP="00DD0AA8">
      <w:pPr>
        <w:pStyle w:val="Heading1"/>
        <w:jc w:val="both"/>
      </w:pPr>
      <w:r w:rsidRPr="0078385B">
        <w:t>Consultations</w:t>
      </w:r>
    </w:p>
    <w:p w:rsidR="00905760" w:rsidRPr="00905760" w:rsidRDefault="00905760" w:rsidP="00905760">
      <w:pPr>
        <w:rPr>
          <w:lang w:eastAsia="en-US"/>
        </w:rPr>
      </w:pPr>
    </w:p>
    <w:p w:rsidR="0078385B" w:rsidRDefault="00905760" w:rsidP="00DD0AA8">
      <w:pPr>
        <w:pStyle w:val="Header"/>
        <w:jc w:val="both"/>
        <w:rPr>
          <w:sz w:val="24"/>
        </w:rPr>
      </w:pPr>
      <w:r w:rsidRPr="0078385B">
        <w:rPr>
          <w:sz w:val="24"/>
        </w:rPr>
        <w:t>South Ribble Borough Council</w:t>
      </w:r>
      <w:r>
        <w:rPr>
          <w:sz w:val="24"/>
        </w:rPr>
        <w:t xml:space="preserve">: - No </w:t>
      </w:r>
      <w:r w:rsidR="00860B8F">
        <w:rPr>
          <w:sz w:val="24"/>
        </w:rPr>
        <w:t>o</w:t>
      </w:r>
      <w:r>
        <w:rPr>
          <w:sz w:val="24"/>
        </w:rPr>
        <w:t>bjection</w:t>
      </w:r>
    </w:p>
    <w:p w:rsidR="00905760" w:rsidRPr="0078385B" w:rsidRDefault="00905760" w:rsidP="00DD0AA8">
      <w:pPr>
        <w:pStyle w:val="Header"/>
        <w:jc w:val="both"/>
        <w:rPr>
          <w:sz w:val="24"/>
        </w:rPr>
      </w:pPr>
    </w:p>
    <w:p w:rsidR="0078385B" w:rsidRDefault="00172780" w:rsidP="00DD0AA8">
      <w:pPr>
        <w:pStyle w:val="Header"/>
        <w:jc w:val="both"/>
        <w:rPr>
          <w:sz w:val="24"/>
        </w:rPr>
      </w:pPr>
      <w:r w:rsidRPr="0078385B">
        <w:rPr>
          <w:sz w:val="24"/>
        </w:rPr>
        <w:t>Penwortham Town Council</w:t>
      </w:r>
      <w:r w:rsidRPr="0078385B">
        <w:rPr>
          <w:sz w:val="24"/>
        </w:rPr>
        <w:tab/>
      </w:r>
      <w:r>
        <w:rPr>
          <w:sz w:val="24"/>
        </w:rPr>
        <w:t>: - No comments received</w:t>
      </w:r>
      <w:r w:rsidR="00D5183A">
        <w:rPr>
          <w:sz w:val="24"/>
        </w:rPr>
        <w:t>.</w:t>
      </w:r>
    </w:p>
    <w:p w:rsidR="00D5183A" w:rsidRDefault="00D5183A" w:rsidP="00DD0AA8">
      <w:pPr>
        <w:pStyle w:val="Header"/>
        <w:jc w:val="both"/>
        <w:rPr>
          <w:sz w:val="24"/>
        </w:rPr>
      </w:pPr>
    </w:p>
    <w:p w:rsidR="00D5183A" w:rsidRPr="0078385B" w:rsidRDefault="00D5183A" w:rsidP="00DD0AA8">
      <w:pPr>
        <w:pStyle w:val="Header"/>
        <w:jc w:val="both"/>
        <w:rPr>
          <w:sz w:val="24"/>
        </w:rPr>
      </w:pPr>
      <w:r>
        <w:rPr>
          <w:sz w:val="24"/>
        </w:rPr>
        <w:t>LCC Developer Support (Highways) – No comments received.</w:t>
      </w:r>
    </w:p>
    <w:p w:rsidR="0078385B" w:rsidRPr="0078385B" w:rsidRDefault="0078385B" w:rsidP="00DD0AA8">
      <w:pPr>
        <w:pStyle w:val="Header"/>
        <w:jc w:val="both"/>
        <w:rPr>
          <w:sz w:val="24"/>
        </w:rPr>
      </w:pPr>
    </w:p>
    <w:p w:rsidR="0078385B" w:rsidRDefault="0078385B" w:rsidP="00DD0AA8">
      <w:pPr>
        <w:pStyle w:val="Header"/>
        <w:jc w:val="both"/>
        <w:rPr>
          <w:sz w:val="24"/>
        </w:rPr>
      </w:pPr>
      <w:r w:rsidRPr="0078385B">
        <w:rPr>
          <w:sz w:val="24"/>
        </w:rPr>
        <w:t>Representations – The application has been advertised by site notice, and neighbouring residents informed by individual letter.</w:t>
      </w:r>
      <w:r w:rsidR="00172780">
        <w:rPr>
          <w:sz w:val="24"/>
        </w:rPr>
        <w:t xml:space="preserve"> </w:t>
      </w:r>
      <w:r w:rsidR="00D5183A">
        <w:rPr>
          <w:sz w:val="24"/>
        </w:rPr>
        <w:t xml:space="preserve"> One </w:t>
      </w:r>
      <w:r w:rsidR="00172780">
        <w:rPr>
          <w:sz w:val="24"/>
        </w:rPr>
        <w:t xml:space="preserve">representation has been received </w:t>
      </w:r>
      <w:r w:rsidR="00D5183A">
        <w:rPr>
          <w:sz w:val="24"/>
        </w:rPr>
        <w:t>objecting for the following reasons:</w:t>
      </w:r>
    </w:p>
    <w:p w:rsidR="00172780" w:rsidRDefault="00172780" w:rsidP="00DD0AA8">
      <w:pPr>
        <w:pStyle w:val="Header"/>
        <w:jc w:val="both"/>
        <w:rPr>
          <w:sz w:val="24"/>
        </w:rPr>
      </w:pPr>
    </w:p>
    <w:p w:rsidR="00D5183A" w:rsidRDefault="00172780" w:rsidP="00DD0AA8">
      <w:pPr>
        <w:pStyle w:val="Header"/>
        <w:numPr>
          <w:ilvl w:val="0"/>
          <w:numId w:val="2"/>
        </w:numPr>
        <w:jc w:val="both"/>
        <w:rPr>
          <w:sz w:val="24"/>
        </w:rPr>
      </w:pPr>
      <w:r>
        <w:rPr>
          <w:sz w:val="24"/>
        </w:rPr>
        <w:t xml:space="preserve">The proposed new fence and gates would block </w:t>
      </w:r>
      <w:r w:rsidR="00D5183A">
        <w:rPr>
          <w:sz w:val="24"/>
        </w:rPr>
        <w:t>a</w:t>
      </w:r>
      <w:r>
        <w:rPr>
          <w:sz w:val="24"/>
        </w:rPr>
        <w:t xml:space="preserve"> </w:t>
      </w:r>
      <w:r w:rsidR="004B7F3A">
        <w:rPr>
          <w:sz w:val="24"/>
        </w:rPr>
        <w:t>right of way</w:t>
      </w:r>
      <w:r>
        <w:rPr>
          <w:sz w:val="24"/>
        </w:rPr>
        <w:t xml:space="preserve"> from Alcester Avenue to Cop Lane.</w:t>
      </w:r>
    </w:p>
    <w:p w:rsidR="00A1091E" w:rsidRPr="00D5183A" w:rsidRDefault="00A1091E" w:rsidP="00DD0AA8">
      <w:pPr>
        <w:pStyle w:val="Header"/>
        <w:numPr>
          <w:ilvl w:val="0"/>
          <w:numId w:val="2"/>
        </w:numPr>
        <w:jc w:val="both"/>
        <w:rPr>
          <w:sz w:val="24"/>
        </w:rPr>
      </w:pPr>
      <w:r w:rsidRPr="00D5183A">
        <w:rPr>
          <w:sz w:val="24"/>
        </w:rPr>
        <w:t>Concern</w:t>
      </w:r>
      <w:r w:rsidR="00D5183A">
        <w:rPr>
          <w:sz w:val="24"/>
        </w:rPr>
        <w:t>ed that not enough residents have</w:t>
      </w:r>
      <w:r w:rsidRPr="00D5183A">
        <w:rPr>
          <w:sz w:val="24"/>
        </w:rPr>
        <w:t xml:space="preserve"> been notified</w:t>
      </w:r>
      <w:r w:rsidR="00D5183A" w:rsidRPr="00D5183A">
        <w:rPr>
          <w:sz w:val="24"/>
        </w:rPr>
        <w:t>.</w:t>
      </w:r>
    </w:p>
    <w:p w:rsidR="0078385B" w:rsidRPr="0078385B" w:rsidRDefault="0078385B" w:rsidP="00DD0AA8">
      <w:pPr>
        <w:pStyle w:val="Header"/>
        <w:jc w:val="both"/>
        <w:rPr>
          <w:sz w:val="24"/>
        </w:rPr>
      </w:pPr>
    </w:p>
    <w:p w:rsidR="0078385B" w:rsidRDefault="0078385B" w:rsidP="00DD0AA8">
      <w:pPr>
        <w:jc w:val="both"/>
        <w:rPr>
          <w:b/>
        </w:rPr>
      </w:pPr>
      <w:r w:rsidRPr="0078385B">
        <w:rPr>
          <w:b/>
        </w:rPr>
        <w:t>Advice</w:t>
      </w:r>
    </w:p>
    <w:p w:rsidR="002F04B4" w:rsidRDefault="002F04B4" w:rsidP="00DD0AA8">
      <w:pPr>
        <w:jc w:val="both"/>
        <w:rPr>
          <w:b/>
        </w:rPr>
      </w:pPr>
    </w:p>
    <w:p w:rsidR="00B566A1" w:rsidRDefault="00B566A1" w:rsidP="00DD0AA8">
      <w:pPr>
        <w:jc w:val="both"/>
      </w:pPr>
      <w:r>
        <w:t xml:space="preserve">The </w:t>
      </w:r>
      <w:r w:rsidR="006A54D9">
        <w:t>fencing and gates are required</w:t>
      </w:r>
      <w:r>
        <w:t xml:space="preserve"> to increase security at the site both during the day and out of school hours.  </w:t>
      </w:r>
      <w:r w:rsidR="00CD3A43">
        <w:t>A</w:t>
      </w:r>
      <w:r>
        <w:t xml:space="preserve">ccess is being gained by local </w:t>
      </w:r>
      <w:r>
        <w:lastRenderedPageBreak/>
        <w:t>residents that use the school as a cut through from Alcester Ave</w:t>
      </w:r>
      <w:r w:rsidR="006A54D9">
        <w:t>nue and Cop Lane and use the school playing fields to exercise their do</w:t>
      </w:r>
      <w:r w:rsidR="00D5183A">
        <w:t>gs rather than using Hurst Grange</w:t>
      </w:r>
      <w:r w:rsidR="006A54D9">
        <w:t xml:space="preserve"> Park.  The additional fe</w:t>
      </w:r>
      <w:r w:rsidR="00D5183A">
        <w:t>ncing and gates would</w:t>
      </w:r>
      <w:r w:rsidR="006A54D9">
        <w:t xml:space="preserve"> ensure the security of the school grounds and the safeguarding of pupils.</w:t>
      </w:r>
      <w:r w:rsidR="00527066">
        <w:t xml:space="preserve"> </w:t>
      </w:r>
    </w:p>
    <w:p w:rsidR="006A54D9" w:rsidRDefault="006A54D9" w:rsidP="00DD0AA8">
      <w:pPr>
        <w:jc w:val="both"/>
      </w:pPr>
    </w:p>
    <w:p w:rsidR="00566213" w:rsidRDefault="00913716" w:rsidP="00DD0AA8">
      <w:pPr>
        <w:autoSpaceDE w:val="0"/>
        <w:autoSpaceDN w:val="0"/>
        <w:adjustRightInd w:val="0"/>
        <w:jc w:val="both"/>
      </w:pPr>
      <w:r>
        <w:t>The proposed fencing would be appropriate by way of scale and design and would have limited visual impact on residential amenity, the setting of Hurst Grange Park o</w:t>
      </w:r>
      <w:r w:rsidR="00BD4F4F">
        <w:t>r the adjoining Green Belt land subject to a condition requiring the fencing to be coloured green as proposed.</w:t>
      </w:r>
      <w:r>
        <w:t xml:space="preserve"> </w:t>
      </w:r>
      <w:r w:rsidR="00566213">
        <w:t xml:space="preserve"> </w:t>
      </w:r>
      <w:r>
        <w:t xml:space="preserve">The proposal </w:t>
      </w:r>
      <w:r w:rsidR="00566213">
        <w:t xml:space="preserve">complies with Policy </w:t>
      </w:r>
      <w:r>
        <w:t>G</w:t>
      </w:r>
      <w:r w:rsidR="00CD3A43">
        <w:t xml:space="preserve">7 and </w:t>
      </w:r>
      <w:r w:rsidR="00566213">
        <w:t xml:space="preserve">G17 of the South Ribble Site Allocations and Development Management Policies DPD (Partial Version), Policy 17 of the Central Lancashire Core Strategy and the National Planning Policy Framework. </w:t>
      </w:r>
      <w:r w:rsidR="00BD4F4F">
        <w:t xml:space="preserve"> </w:t>
      </w:r>
    </w:p>
    <w:p w:rsidR="0078385B" w:rsidRDefault="0078385B" w:rsidP="00DD0AA8">
      <w:pPr>
        <w:jc w:val="both"/>
      </w:pPr>
    </w:p>
    <w:p w:rsidR="00913716" w:rsidRDefault="00913716" w:rsidP="00913716">
      <w:pPr>
        <w:jc w:val="both"/>
      </w:pPr>
      <w:r>
        <w:t xml:space="preserve">One representation has been received stating that part of the fencing proposal would block a right of way from Alcester Avenue to Cop Lane.  However, there is no formal public right of way through the school grounds and therefore there is no requirement to consider impacts in this respect or the need for any form of footpath diversion.  </w:t>
      </w:r>
    </w:p>
    <w:p w:rsidR="00913716" w:rsidRDefault="00913716" w:rsidP="00913716">
      <w:pPr>
        <w:jc w:val="both"/>
      </w:pPr>
    </w:p>
    <w:p w:rsidR="00913716" w:rsidRDefault="00913716" w:rsidP="00DD0AA8">
      <w:pPr>
        <w:jc w:val="both"/>
      </w:pPr>
      <w:r>
        <w:t>The local resident has also raised concerns in respect of how the application has been advertised.  The application has been advertised in accordanc</w:t>
      </w:r>
      <w:r w:rsidR="00975FFA">
        <w:t>e with legislative requirements as site notices were posted at the site (front of the school on Cop Lane and the double gates at Alcester Avenue) and l</w:t>
      </w:r>
      <w:r>
        <w:t>ocal residents</w:t>
      </w:r>
      <w:r w:rsidR="00975FFA">
        <w:t xml:space="preserve"> most likely to be directly affected </w:t>
      </w:r>
      <w:r>
        <w:t xml:space="preserve">were consulted by </w:t>
      </w:r>
      <w:r w:rsidR="00975FFA">
        <w:t>letter.</w:t>
      </w:r>
      <w:r w:rsidR="00EE2711">
        <w:t xml:space="preserve"> The resident who made representations on this matter was consulted on the application.</w:t>
      </w:r>
    </w:p>
    <w:p w:rsidR="00913716" w:rsidRDefault="00913716" w:rsidP="00DD0AA8">
      <w:pPr>
        <w:jc w:val="both"/>
      </w:pPr>
    </w:p>
    <w:p w:rsidR="007B012D" w:rsidRDefault="00975FFA" w:rsidP="00DD0AA8">
      <w:pPr>
        <w:jc w:val="both"/>
      </w:pPr>
      <w:r>
        <w:lastRenderedPageBreak/>
        <w:t>I</w:t>
      </w:r>
      <w:r w:rsidR="007B012D" w:rsidRPr="003C45BD">
        <w:t xml:space="preserve">n view of the </w:t>
      </w:r>
      <w:r w:rsidR="007B012D">
        <w:t xml:space="preserve">small scale and location of the development </w:t>
      </w:r>
      <w:r w:rsidR="007B012D" w:rsidRPr="003C45BD">
        <w:t>it is considered that no Convention Rights set out in the Human Rights Act 1998 would be affected.</w:t>
      </w:r>
    </w:p>
    <w:p w:rsidR="00F97739" w:rsidRDefault="00F97739" w:rsidP="00DD0AA8">
      <w:pPr>
        <w:jc w:val="both"/>
      </w:pPr>
    </w:p>
    <w:p w:rsidR="00F97739" w:rsidRDefault="00F97739" w:rsidP="00F97739">
      <w:pPr>
        <w:pStyle w:val="Heading5"/>
        <w:rPr>
          <w:rFonts w:ascii="Arial" w:hAnsi="Arial"/>
          <w:sz w:val="24"/>
          <w:szCs w:val="24"/>
          <w:u w:val="none"/>
        </w:rPr>
      </w:pPr>
      <w:r w:rsidRPr="000A7C40">
        <w:rPr>
          <w:rFonts w:ascii="Arial" w:hAnsi="Arial"/>
          <w:sz w:val="24"/>
          <w:szCs w:val="24"/>
          <w:u w:val="none"/>
        </w:rPr>
        <w:t>Recommendation</w:t>
      </w:r>
    </w:p>
    <w:p w:rsidR="00F97739" w:rsidRPr="001F2787" w:rsidRDefault="00F97739" w:rsidP="00F97739">
      <w:pPr>
        <w:rPr>
          <w:lang w:eastAsia="en-US"/>
        </w:rPr>
      </w:pPr>
    </w:p>
    <w:p w:rsidR="00F97739" w:rsidRDefault="00F97739" w:rsidP="00F97739">
      <w:r>
        <w:rPr>
          <w:lang w:eastAsia="en-US"/>
        </w:rPr>
        <w:t xml:space="preserve">That planning permission be </w:t>
      </w:r>
      <w:r w:rsidRPr="00F97739">
        <w:rPr>
          <w:b/>
          <w:noProof/>
        </w:rPr>
        <w:t>Granted</w:t>
      </w:r>
      <w:r>
        <w:t xml:space="preserve"> subject to the following conditions</w:t>
      </w:r>
      <w:r w:rsidR="00860B8F">
        <w:t>:</w:t>
      </w:r>
    </w:p>
    <w:p w:rsidR="00F97739" w:rsidRDefault="00F97739" w:rsidP="00F97739"/>
    <w:p w:rsidR="00F97739" w:rsidRPr="00F97739" w:rsidRDefault="00F97739" w:rsidP="00F97739">
      <w:pPr>
        <w:rPr>
          <w:b/>
          <w:noProof/>
        </w:rPr>
      </w:pPr>
      <w:r w:rsidRPr="00F97739">
        <w:rPr>
          <w:b/>
          <w:noProof/>
        </w:rPr>
        <w:t>Time Limits</w:t>
      </w:r>
    </w:p>
    <w:p w:rsidR="00F97739" w:rsidRPr="00B81D4A" w:rsidRDefault="00F97739" w:rsidP="00F97739">
      <w:pPr>
        <w:rPr>
          <w:noProof/>
        </w:rPr>
      </w:pPr>
    </w:p>
    <w:p w:rsidR="00F97739" w:rsidRPr="00B81D4A" w:rsidRDefault="00F97739" w:rsidP="00F97739">
      <w:pPr>
        <w:ind w:left="720" w:hanging="720"/>
        <w:rPr>
          <w:noProof/>
        </w:rPr>
      </w:pPr>
      <w:r w:rsidRPr="00B81D4A">
        <w:rPr>
          <w:noProof/>
        </w:rPr>
        <w:t>1.</w:t>
      </w:r>
      <w:r w:rsidRPr="00B81D4A">
        <w:rPr>
          <w:noProof/>
        </w:rPr>
        <w:tab/>
        <w:t>The development shall commence not later than 3 years from the date of this permission.</w:t>
      </w:r>
    </w:p>
    <w:p w:rsidR="00F97739" w:rsidRPr="00B81D4A" w:rsidRDefault="00F97739" w:rsidP="00F97739">
      <w:pPr>
        <w:rPr>
          <w:noProof/>
        </w:rPr>
      </w:pPr>
      <w:r w:rsidRPr="00B81D4A">
        <w:rPr>
          <w:noProof/>
        </w:rPr>
        <w:tab/>
      </w:r>
    </w:p>
    <w:p w:rsidR="00F97739" w:rsidRPr="00F97739" w:rsidRDefault="00F97739" w:rsidP="00F97739">
      <w:pPr>
        <w:ind w:left="720"/>
        <w:rPr>
          <w:i/>
          <w:noProof/>
        </w:rPr>
      </w:pPr>
      <w:r w:rsidRPr="00F97739">
        <w:rPr>
          <w:i/>
          <w:noProof/>
        </w:rPr>
        <w:t>Reason:  Imposed pursuant to Section 91 (1)(a) of the Town and Country Planning Act 1990.</w:t>
      </w:r>
    </w:p>
    <w:p w:rsidR="00F97739" w:rsidRPr="00B81D4A" w:rsidRDefault="00F97739" w:rsidP="00F97739">
      <w:pPr>
        <w:rPr>
          <w:noProof/>
        </w:rPr>
      </w:pPr>
      <w:r w:rsidRPr="00B81D4A">
        <w:rPr>
          <w:noProof/>
        </w:rPr>
        <w:tab/>
      </w:r>
    </w:p>
    <w:p w:rsidR="00F97739" w:rsidRPr="00F97739" w:rsidRDefault="00F97739" w:rsidP="00F97739">
      <w:pPr>
        <w:rPr>
          <w:b/>
          <w:noProof/>
        </w:rPr>
      </w:pPr>
      <w:r w:rsidRPr="00F97739">
        <w:rPr>
          <w:b/>
          <w:noProof/>
        </w:rPr>
        <w:t>Working Programme</w:t>
      </w:r>
    </w:p>
    <w:p w:rsidR="00F97739" w:rsidRPr="00B81D4A" w:rsidRDefault="00F97739" w:rsidP="00F97739">
      <w:pPr>
        <w:rPr>
          <w:noProof/>
        </w:rPr>
      </w:pPr>
    </w:p>
    <w:p w:rsidR="00F97739" w:rsidRPr="00B81D4A" w:rsidRDefault="00F97739" w:rsidP="00F97739">
      <w:pPr>
        <w:ind w:left="720" w:hanging="720"/>
        <w:rPr>
          <w:noProof/>
        </w:rPr>
      </w:pPr>
      <w:r w:rsidRPr="00B81D4A">
        <w:rPr>
          <w:noProof/>
        </w:rPr>
        <w:t>2.</w:t>
      </w:r>
      <w:r w:rsidRPr="00B81D4A">
        <w:rPr>
          <w:noProof/>
        </w:rPr>
        <w:tab/>
        <w:t>The development shall be carried out, except where modified by the conditions to this permission, in accordance with the following documents:</w:t>
      </w:r>
    </w:p>
    <w:p w:rsidR="00F97739" w:rsidRPr="00B81D4A" w:rsidRDefault="00F97739" w:rsidP="00F97739">
      <w:pPr>
        <w:rPr>
          <w:noProof/>
        </w:rPr>
      </w:pPr>
      <w:r w:rsidRPr="00B81D4A">
        <w:rPr>
          <w:noProof/>
        </w:rPr>
        <w:tab/>
      </w:r>
    </w:p>
    <w:p w:rsidR="00F97739" w:rsidRPr="00B81D4A" w:rsidRDefault="00F97739" w:rsidP="00F97739">
      <w:pPr>
        <w:ind w:left="720" w:hanging="720"/>
        <w:rPr>
          <w:noProof/>
        </w:rPr>
      </w:pPr>
      <w:r w:rsidRPr="00B81D4A">
        <w:rPr>
          <w:noProof/>
        </w:rPr>
        <w:tab/>
        <w:t>a)</w:t>
      </w:r>
      <w:r w:rsidRPr="00B81D4A">
        <w:rPr>
          <w:noProof/>
        </w:rPr>
        <w:tab/>
        <w:t>The Planning Application received by the County Planning Authority on 14 January 2015</w:t>
      </w:r>
    </w:p>
    <w:p w:rsidR="00F97739" w:rsidRPr="00B81D4A" w:rsidRDefault="00F97739" w:rsidP="00F97739">
      <w:pPr>
        <w:rPr>
          <w:noProof/>
        </w:rPr>
      </w:pPr>
      <w:r w:rsidRPr="00B81D4A">
        <w:rPr>
          <w:noProof/>
        </w:rPr>
        <w:tab/>
      </w:r>
    </w:p>
    <w:p w:rsidR="00F97739" w:rsidRPr="00B81D4A" w:rsidRDefault="00F97739" w:rsidP="00F97739">
      <w:pPr>
        <w:rPr>
          <w:noProof/>
        </w:rPr>
      </w:pPr>
      <w:r w:rsidRPr="00B81D4A">
        <w:rPr>
          <w:noProof/>
        </w:rPr>
        <w:tab/>
        <w:t>b)</w:t>
      </w:r>
      <w:r w:rsidRPr="00B81D4A">
        <w:rPr>
          <w:noProof/>
        </w:rPr>
        <w:tab/>
        <w:t>Submitted Plans and documents:</w:t>
      </w:r>
    </w:p>
    <w:p w:rsidR="00F97739" w:rsidRPr="00B81D4A" w:rsidRDefault="00F97739" w:rsidP="00F97739">
      <w:pPr>
        <w:rPr>
          <w:noProof/>
        </w:rPr>
      </w:pPr>
      <w:r w:rsidRPr="00B81D4A">
        <w:rPr>
          <w:noProof/>
        </w:rPr>
        <w:tab/>
      </w:r>
    </w:p>
    <w:p w:rsidR="00F97739" w:rsidRPr="00B81D4A" w:rsidRDefault="00F97739" w:rsidP="00F97739">
      <w:pPr>
        <w:rPr>
          <w:noProof/>
        </w:rPr>
      </w:pPr>
      <w:r w:rsidRPr="00B81D4A">
        <w:rPr>
          <w:noProof/>
        </w:rPr>
        <w:tab/>
        <w:t xml:space="preserve">               Location plan</w:t>
      </w:r>
    </w:p>
    <w:p w:rsidR="00F97739" w:rsidRPr="00B81D4A" w:rsidRDefault="00F97739" w:rsidP="00F97739">
      <w:pPr>
        <w:rPr>
          <w:noProof/>
        </w:rPr>
      </w:pPr>
      <w:r w:rsidRPr="00B81D4A">
        <w:rPr>
          <w:noProof/>
        </w:rPr>
        <w:lastRenderedPageBreak/>
        <w:tab/>
      </w:r>
    </w:p>
    <w:p w:rsidR="00F97739" w:rsidRPr="00F97739" w:rsidRDefault="00F97739" w:rsidP="00F97739">
      <w:pPr>
        <w:ind w:left="720"/>
        <w:rPr>
          <w:i/>
          <w:noProof/>
        </w:rPr>
      </w:pPr>
      <w:r w:rsidRPr="00F97739">
        <w:rPr>
          <w:i/>
          <w:noProof/>
        </w:rPr>
        <w:t xml:space="preserve">Reason: To minimise the impact of the development on the amenities of the area and to conform with Policy 17 of the Central Lancashire Core Strategy. </w:t>
      </w:r>
    </w:p>
    <w:p w:rsidR="00F97739" w:rsidRPr="00F97739" w:rsidRDefault="00F97739" w:rsidP="00F97739">
      <w:pPr>
        <w:rPr>
          <w:i/>
          <w:noProof/>
        </w:rPr>
      </w:pPr>
    </w:p>
    <w:p w:rsidR="00F97739" w:rsidRPr="00B81D4A" w:rsidRDefault="00F97739" w:rsidP="00F97739">
      <w:pPr>
        <w:ind w:left="720" w:hanging="720"/>
        <w:rPr>
          <w:noProof/>
        </w:rPr>
      </w:pPr>
      <w:r w:rsidRPr="00B81D4A">
        <w:rPr>
          <w:noProof/>
        </w:rPr>
        <w:t>3.</w:t>
      </w:r>
      <w:r w:rsidRPr="00B81D4A">
        <w:rPr>
          <w:noProof/>
        </w:rPr>
        <w:tab/>
        <w:t>The external finish of the fencing/gates shall be coloured green and thereafter maintained in the same colour throughout their presence on the site.</w:t>
      </w:r>
    </w:p>
    <w:p w:rsidR="00F97739" w:rsidRPr="00B81D4A" w:rsidRDefault="00F97739" w:rsidP="00F97739">
      <w:pPr>
        <w:rPr>
          <w:noProof/>
        </w:rPr>
      </w:pPr>
      <w:r w:rsidRPr="00B81D4A">
        <w:rPr>
          <w:noProof/>
        </w:rPr>
        <w:tab/>
      </w:r>
    </w:p>
    <w:p w:rsidR="00F97739" w:rsidRPr="00F97739" w:rsidRDefault="00F97739" w:rsidP="00F97739">
      <w:pPr>
        <w:ind w:left="720"/>
        <w:rPr>
          <w:i/>
          <w:noProof/>
        </w:rPr>
      </w:pPr>
      <w:r w:rsidRPr="00F97739">
        <w:rPr>
          <w:i/>
          <w:noProof/>
        </w:rPr>
        <w:t xml:space="preserve">Reason:  To protect the visual amenities of the area and to conform with Policy 17 of the Central Lancashire Core Strategy.  </w:t>
      </w:r>
    </w:p>
    <w:p w:rsidR="00F97739" w:rsidRPr="00B81D4A" w:rsidRDefault="00F97739" w:rsidP="00F97739">
      <w:pPr>
        <w:rPr>
          <w:noProof/>
        </w:rPr>
      </w:pPr>
    </w:p>
    <w:p w:rsidR="00F97739" w:rsidRPr="00F97739" w:rsidRDefault="00F97739" w:rsidP="00F97739">
      <w:pPr>
        <w:rPr>
          <w:b/>
          <w:noProof/>
        </w:rPr>
      </w:pPr>
      <w:r w:rsidRPr="00F97739">
        <w:rPr>
          <w:b/>
          <w:noProof/>
        </w:rPr>
        <w:t>Local Government (Access to Information) Act 1985</w:t>
      </w:r>
    </w:p>
    <w:p w:rsidR="00F97739" w:rsidRPr="00F97739" w:rsidRDefault="00F97739" w:rsidP="00F97739">
      <w:pPr>
        <w:rPr>
          <w:b/>
          <w:noProof/>
        </w:rPr>
      </w:pPr>
      <w:r w:rsidRPr="00F97739">
        <w:rPr>
          <w:b/>
          <w:noProof/>
        </w:rPr>
        <w:t>List of Background Papers</w:t>
      </w:r>
    </w:p>
    <w:p w:rsidR="00F97739" w:rsidRPr="00B81D4A" w:rsidRDefault="00F97739" w:rsidP="00F97739">
      <w:pPr>
        <w:rPr>
          <w:noProof/>
        </w:rPr>
      </w:pPr>
      <w:r w:rsidRPr="00B81D4A">
        <w:rPr>
          <w:noProof/>
        </w:rPr>
        <w:tab/>
      </w:r>
    </w:p>
    <w:p w:rsidR="00F97739" w:rsidRPr="00B81D4A" w:rsidRDefault="00F97739" w:rsidP="00F97739">
      <w:pPr>
        <w:rPr>
          <w:noProof/>
        </w:rPr>
      </w:pPr>
      <w:r w:rsidRPr="00B81D4A">
        <w:rPr>
          <w:noProof/>
        </w:rPr>
        <w:t>Paper                    Date                        Contact/Directorate/Ext</w:t>
      </w:r>
    </w:p>
    <w:p w:rsidR="00F97739" w:rsidRPr="00B81D4A" w:rsidRDefault="00F97739" w:rsidP="00F97739">
      <w:pPr>
        <w:rPr>
          <w:noProof/>
        </w:rPr>
      </w:pPr>
      <w:r w:rsidRPr="00B81D4A">
        <w:rPr>
          <w:noProof/>
        </w:rPr>
        <w:t>LCC/2015/0007    30/01/2015                 P Kelly ENV 31929</w:t>
      </w:r>
    </w:p>
    <w:p w:rsidR="00F97739" w:rsidRPr="00B81D4A" w:rsidRDefault="00F97739" w:rsidP="00F97739">
      <w:pPr>
        <w:rPr>
          <w:noProof/>
        </w:rPr>
      </w:pPr>
      <w:r w:rsidRPr="00B81D4A">
        <w:rPr>
          <w:noProof/>
        </w:rPr>
        <w:tab/>
        <w:t xml:space="preserve"> </w:t>
      </w:r>
    </w:p>
    <w:p w:rsidR="00F97739" w:rsidRPr="00B81D4A" w:rsidRDefault="00F97739" w:rsidP="00F97739">
      <w:pPr>
        <w:rPr>
          <w:noProof/>
        </w:rPr>
      </w:pPr>
      <w:r w:rsidRPr="00B81D4A">
        <w:rPr>
          <w:noProof/>
        </w:rPr>
        <w:tab/>
      </w:r>
    </w:p>
    <w:p w:rsidR="00F97739" w:rsidRPr="00B81D4A" w:rsidRDefault="00F97739" w:rsidP="00F97739">
      <w:pPr>
        <w:rPr>
          <w:noProof/>
        </w:rPr>
      </w:pPr>
      <w:r w:rsidRPr="00B81D4A">
        <w:rPr>
          <w:noProof/>
        </w:rPr>
        <w:t>Reason for Inclusion in Part II, if appropriate</w:t>
      </w:r>
    </w:p>
    <w:p w:rsidR="00F97739" w:rsidRPr="00B81D4A" w:rsidRDefault="00F97739" w:rsidP="00F97739">
      <w:pPr>
        <w:rPr>
          <w:noProof/>
        </w:rPr>
      </w:pPr>
      <w:r w:rsidRPr="00B81D4A">
        <w:rPr>
          <w:noProof/>
        </w:rPr>
        <w:tab/>
      </w:r>
    </w:p>
    <w:p w:rsidR="00F97739" w:rsidRPr="00B81D4A" w:rsidRDefault="00F97739" w:rsidP="00F97739">
      <w:pPr>
        <w:rPr>
          <w:noProof/>
        </w:rPr>
      </w:pPr>
      <w:r w:rsidRPr="00B81D4A">
        <w:rPr>
          <w:noProof/>
        </w:rPr>
        <w:t>N/A</w:t>
      </w:r>
    </w:p>
    <w:p w:rsidR="00F97739" w:rsidRDefault="00F97739" w:rsidP="00F97739">
      <w:r w:rsidRPr="00B81D4A">
        <w:rPr>
          <w:noProof/>
        </w:rPr>
        <w:tab/>
      </w:r>
    </w:p>
    <w:sectPr w:rsidR="00F97739" w:rsidSect="0078385B">
      <w:footerReference w:type="default" r:id="rId8"/>
      <w:footerReference w:type="first" r:id="rId9"/>
      <w:type w:val="continuous"/>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A2" w:rsidRDefault="00F022A2">
      <w:r>
        <w:separator/>
      </w:r>
    </w:p>
  </w:endnote>
  <w:endnote w:type="continuationSeparator" w:id="0">
    <w:p w:rsidR="00F022A2" w:rsidRDefault="00F0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60" w:rsidRDefault="0090576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60" w:rsidRDefault="00860B8F">
    <w:pPr>
      <w:pStyle w:val="Footer"/>
    </w:pPr>
    <w:r>
      <w:tab/>
    </w:r>
    <w:r>
      <w:tab/>
    </w:r>
    <w:r>
      <w:rPr>
        <w:noProof/>
        <w:lang w:eastAsia="en-GB"/>
      </w:rPr>
      <w:drawing>
        <wp:inline distT="0" distB="0" distL="0" distR="0" wp14:anchorId="0C0AD65B" wp14:editId="16CE1EA7">
          <wp:extent cx="1304925" cy="628650"/>
          <wp:effectExtent l="0" t="0" r="9525"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inline>
      </w:drawing>
    </w:r>
    <w:r w:rsidR="0090576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A2" w:rsidRDefault="00F022A2">
      <w:r>
        <w:separator/>
      </w:r>
    </w:p>
  </w:footnote>
  <w:footnote w:type="continuationSeparator" w:id="0">
    <w:p w:rsidR="00F022A2" w:rsidRDefault="00F02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3033C"/>
    <w:multiLevelType w:val="hybridMultilevel"/>
    <w:tmpl w:val="6A54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1F3D8E"/>
    <w:multiLevelType w:val="hybridMultilevel"/>
    <w:tmpl w:val="6648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1322B"/>
    <w:rsid w:val="00035D63"/>
    <w:rsid w:val="000673F8"/>
    <w:rsid w:val="000D7C7E"/>
    <w:rsid w:val="00106595"/>
    <w:rsid w:val="00130040"/>
    <w:rsid w:val="001329BD"/>
    <w:rsid w:val="00157186"/>
    <w:rsid w:val="00161A18"/>
    <w:rsid w:val="00172780"/>
    <w:rsid w:val="001A6929"/>
    <w:rsid w:val="001D582F"/>
    <w:rsid w:val="002240BD"/>
    <w:rsid w:val="002438FD"/>
    <w:rsid w:val="0028028A"/>
    <w:rsid w:val="002A6768"/>
    <w:rsid w:val="002B0551"/>
    <w:rsid w:val="002D20F8"/>
    <w:rsid w:val="002E1DED"/>
    <w:rsid w:val="002F04B4"/>
    <w:rsid w:val="00332E20"/>
    <w:rsid w:val="00363E96"/>
    <w:rsid w:val="003701B9"/>
    <w:rsid w:val="003E6738"/>
    <w:rsid w:val="00421E9F"/>
    <w:rsid w:val="00461F19"/>
    <w:rsid w:val="00462723"/>
    <w:rsid w:val="004746D9"/>
    <w:rsid w:val="004849F0"/>
    <w:rsid w:val="004B48B9"/>
    <w:rsid w:val="004B7F3A"/>
    <w:rsid w:val="004D082A"/>
    <w:rsid w:val="004D6C84"/>
    <w:rsid w:val="004D7ABF"/>
    <w:rsid w:val="00505D84"/>
    <w:rsid w:val="00507F46"/>
    <w:rsid w:val="00527066"/>
    <w:rsid w:val="00545DA9"/>
    <w:rsid w:val="00566213"/>
    <w:rsid w:val="005D749C"/>
    <w:rsid w:val="005F7E5C"/>
    <w:rsid w:val="00615A17"/>
    <w:rsid w:val="00615D0F"/>
    <w:rsid w:val="00631A28"/>
    <w:rsid w:val="006A54D9"/>
    <w:rsid w:val="006F2B8A"/>
    <w:rsid w:val="00714CB9"/>
    <w:rsid w:val="00726A01"/>
    <w:rsid w:val="00736B26"/>
    <w:rsid w:val="00757F01"/>
    <w:rsid w:val="00760B2F"/>
    <w:rsid w:val="00763E95"/>
    <w:rsid w:val="0078385B"/>
    <w:rsid w:val="007854D0"/>
    <w:rsid w:val="007B012D"/>
    <w:rsid w:val="007B389A"/>
    <w:rsid w:val="007C34FE"/>
    <w:rsid w:val="007F251B"/>
    <w:rsid w:val="007F628F"/>
    <w:rsid w:val="00807152"/>
    <w:rsid w:val="00833C48"/>
    <w:rsid w:val="00860B8F"/>
    <w:rsid w:val="00874373"/>
    <w:rsid w:val="008937D1"/>
    <w:rsid w:val="008B0BB4"/>
    <w:rsid w:val="008D3035"/>
    <w:rsid w:val="008F522F"/>
    <w:rsid w:val="00905760"/>
    <w:rsid w:val="00913716"/>
    <w:rsid w:val="0091386E"/>
    <w:rsid w:val="00924411"/>
    <w:rsid w:val="0092453D"/>
    <w:rsid w:val="00937B65"/>
    <w:rsid w:val="009427D0"/>
    <w:rsid w:val="00965D29"/>
    <w:rsid w:val="00975556"/>
    <w:rsid w:val="00975FFA"/>
    <w:rsid w:val="00997C3B"/>
    <w:rsid w:val="009A1CB1"/>
    <w:rsid w:val="009C4B92"/>
    <w:rsid w:val="009F59A9"/>
    <w:rsid w:val="00A1091E"/>
    <w:rsid w:val="00A15F63"/>
    <w:rsid w:val="00A321B2"/>
    <w:rsid w:val="00A44D77"/>
    <w:rsid w:val="00A73C53"/>
    <w:rsid w:val="00A94F90"/>
    <w:rsid w:val="00A97CCD"/>
    <w:rsid w:val="00AA0278"/>
    <w:rsid w:val="00AA4EAD"/>
    <w:rsid w:val="00AD2560"/>
    <w:rsid w:val="00AE6BFA"/>
    <w:rsid w:val="00AF4AA4"/>
    <w:rsid w:val="00AF5C11"/>
    <w:rsid w:val="00B06A36"/>
    <w:rsid w:val="00B25E10"/>
    <w:rsid w:val="00B269CA"/>
    <w:rsid w:val="00B35476"/>
    <w:rsid w:val="00B566A1"/>
    <w:rsid w:val="00B70D42"/>
    <w:rsid w:val="00BA09A6"/>
    <w:rsid w:val="00BB281B"/>
    <w:rsid w:val="00BD4F4F"/>
    <w:rsid w:val="00BF462B"/>
    <w:rsid w:val="00C53141"/>
    <w:rsid w:val="00C805B2"/>
    <w:rsid w:val="00C8126B"/>
    <w:rsid w:val="00C827C7"/>
    <w:rsid w:val="00C8590C"/>
    <w:rsid w:val="00CB1899"/>
    <w:rsid w:val="00CB6F78"/>
    <w:rsid w:val="00CC52D1"/>
    <w:rsid w:val="00CC57A4"/>
    <w:rsid w:val="00CD3A43"/>
    <w:rsid w:val="00CE7462"/>
    <w:rsid w:val="00D12DD6"/>
    <w:rsid w:val="00D5183A"/>
    <w:rsid w:val="00DB6812"/>
    <w:rsid w:val="00DC157B"/>
    <w:rsid w:val="00DD0AA8"/>
    <w:rsid w:val="00DD1EAE"/>
    <w:rsid w:val="00DF7DBC"/>
    <w:rsid w:val="00E360C2"/>
    <w:rsid w:val="00E7465B"/>
    <w:rsid w:val="00E9098F"/>
    <w:rsid w:val="00E91680"/>
    <w:rsid w:val="00EC1888"/>
    <w:rsid w:val="00ED280E"/>
    <w:rsid w:val="00EE2711"/>
    <w:rsid w:val="00F022A2"/>
    <w:rsid w:val="00F06A59"/>
    <w:rsid w:val="00F340B6"/>
    <w:rsid w:val="00F63399"/>
    <w:rsid w:val="00F97739"/>
    <w:rsid w:val="00FA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oNotEmbedSmartTags/>
  <w:decimalSymbol w:val="."/>
  <w:listSeparator w:val=","/>
  <w15:docId w15:val="{01A3A283-B650-444A-8837-40EBE4A2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C1888"/>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EC1888"/>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EC1888"/>
    <w:rPr>
      <w:rFonts w:ascii="Calibri" w:hAnsi="Calibri" w:cs="Times New Roman"/>
      <w:b/>
      <w:bCs/>
      <w:sz w:val="22"/>
      <w:szCs w:val="22"/>
    </w:rPr>
  </w:style>
  <w:style w:type="character" w:customStyle="1" w:styleId="Heading7Char">
    <w:name w:val="Heading 7 Char"/>
    <w:basedOn w:val="DefaultParagraphFont"/>
    <w:link w:val="Heading7"/>
    <w:semiHidden/>
    <w:locked/>
    <w:rsid w:val="00EC1888"/>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EC1888"/>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EC1888"/>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rsid w:val="00C8126B"/>
    <w:pPr>
      <w:tabs>
        <w:tab w:val="center" w:pos="4153"/>
        <w:tab w:val="right" w:pos="8306"/>
      </w:tabs>
    </w:pPr>
    <w:rPr>
      <w:sz w:val="22"/>
      <w:lang w:eastAsia="en-US"/>
    </w:rPr>
  </w:style>
  <w:style w:type="character" w:customStyle="1" w:styleId="FooterChar">
    <w:name w:val="Footer Char"/>
    <w:basedOn w:val="DefaultParagraphFont"/>
    <w:link w:val="Footer"/>
    <w:semiHidden/>
    <w:locked/>
    <w:rsid w:val="00EC1888"/>
    <w:rPr>
      <w:rFonts w:ascii="Arial" w:hAnsi="Arial" w:cs="Times New Roman"/>
      <w:sz w:val="24"/>
    </w:rPr>
  </w:style>
  <w:style w:type="character" w:styleId="Hyperlink">
    <w:name w:val="Hyperlink"/>
    <w:basedOn w:val="DefaultParagraphFont"/>
    <w:rsid w:val="004D7ABF"/>
    <w:rPr>
      <w:color w:val="0000FF"/>
      <w:u w:val="single"/>
    </w:rPr>
  </w:style>
  <w:style w:type="paragraph" w:customStyle="1" w:styleId="Default">
    <w:name w:val="Default"/>
    <w:rsid w:val="001727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C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1256</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8126</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11 December 2009</dc:description>
  <cp:lastModifiedBy>Rawcliffe, Cath</cp:lastModifiedBy>
  <cp:revision>3</cp:revision>
  <cp:lastPrinted>2008-06-12T11:43:00Z</cp:lastPrinted>
  <dcterms:created xsi:type="dcterms:W3CDTF">2015-02-11T09:32:00Z</dcterms:created>
  <dcterms:modified xsi:type="dcterms:W3CDTF">2015-02-11T09:38:00Z</dcterms:modified>
</cp:coreProperties>
</file>